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Памятка поступающему на работу в БУ РК «Аэропорт «Петрозаводск» по основным положениям Антикоррупционной политики учреждения.</w:t>
      </w:r>
    </w:p>
    <w:p>
      <w:pPr>
        <w:pStyle w:val="Normal"/>
        <w:spacing w:lineRule="auto" w:line="240" w:before="0" w:after="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БУ РК «Аэропорт «Петрозаводск» (далее – Учреждение) заявляет о непринятии коррупции в любых ее формах и проявлениях и устанавливает запрет работникам прямо или косвенно, лично или через посредников участвовать в коррупционных действиях в целях получения выгоды для себя, для Учреждения или для третьих лиц.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Подробную информацию об антикоррупционных протоколах и политиках, действующих в Учреждении, можно найти на официальном сайте Учреждения в разделе «Аэропорт» - «Противодействие коррупции».</w:t>
      </w:r>
    </w:p>
    <w:p>
      <w:pPr>
        <w:pStyle w:val="Normal"/>
        <w:spacing w:lineRule="auto" w:line="240" w:before="0" w:after="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всем возникающим вопросам можно обратиться в Комиссию по противодействию коррупции Учреждения по электронной почте: </w:t>
      </w:r>
      <w:hyperlink r:id="rId2">
        <w:r>
          <w:rPr>
            <w:rStyle w:val="Hyperlink"/>
            <w:rFonts w:cs="Times New Roman" w:ascii="Times New Roman" w:hAnsi="Times New Roman"/>
            <w:lang w:val="en-US"/>
          </w:rPr>
          <w:t>corruption</w:t>
        </w:r>
        <w:r>
          <w:rPr>
            <w:rStyle w:val="Hyperlink"/>
            <w:rFonts w:cs="Times New Roman" w:ascii="Times New Roman" w:hAnsi="Times New Roman"/>
          </w:rPr>
          <w:t>@</w:t>
        </w:r>
        <w:r>
          <w:rPr>
            <w:rStyle w:val="Hyperlink"/>
            <w:rFonts w:cs="Times New Roman" w:ascii="Times New Roman" w:hAnsi="Times New Roman"/>
            <w:lang w:val="en-US"/>
          </w:rPr>
          <w:t>karelavia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</w:rPr>
        <w:t xml:space="preserve"> (конфиденциальность гарантируется).</w:t>
      </w:r>
    </w:p>
    <w:p>
      <w:pPr>
        <w:pStyle w:val="Normal"/>
        <w:spacing w:lineRule="auto" w:line="240" w:before="0" w:after="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Основные положения Антикоррупционной политики, которые потребуются вам в работе: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 Вам следует воздерживаться от совершения и (или) участия в совершении коррупционных правонарушений в интересах или от имени Учреждения, а в случае возникновения риска убытков для Учреждения немедленно ставить в известность непосредственного начальника или руководство Учреждения.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При принятии решений по деловым вопросам и выполнении своих трудовых обязанностей вам следует руководствоваться интересами Учреждения, без учёта своих личных интересов, интересов своих родственников и друзей. 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 в случаях, когда личные интересы, интересы родственников и друзей противоречат интересам Учреждения и могут быть (теоретически) удовлетворены за счёт Учреждения (ситуация конфликта интересов) – незамедлительно сообщить о потенциальном или уже возникшем конфликте интересов непосредственному руководителю или напрямую руководству Учреждения (направить уведомление по форме, находящейся на сайте Учреждения в разделе «Противодействие коррупции», на адрес </w:t>
      </w:r>
      <w:r>
        <w:rPr>
          <w:rFonts w:cs="Times New Roman" w:ascii="Times New Roman" w:hAnsi="Times New Roman"/>
          <w:lang w:val="en-US"/>
        </w:rPr>
        <w:t>corruption</w:t>
      </w:r>
      <w:r>
        <w:rPr>
          <w:rFonts w:cs="Times New Roman" w:ascii="Times New Roman" w:hAnsi="Times New Roman"/>
        </w:rPr>
        <w:t>@</w:t>
      </w:r>
      <w:r>
        <w:rPr>
          <w:rFonts w:cs="Times New Roman" w:ascii="Times New Roman" w:hAnsi="Times New Roman"/>
          <w:lang w:val="en-US"/>
        </w:rPr>
        <w:t>karelavia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>ru</w:t>
      </w:r>
      <w:r>
        <w:rPr>
          <w:rFonts w:cs="Times New Roman" w:ascii="Times New Roman" w:hAnsi="Times New Roman"/>
        </w:rPr>
        <w:t>).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Ситуаций конфликта интересов следует избегать. Однако в нижеприведённых случаях считается, что потенциальный или реальный конфликт интересов уже возник. В данных случаях вам необходимо незамедлительно направить уведомление о конфликте интересов на адрес </w:t>
      </w:r>
      <w:hyperlink r:id="rId3">
        <w:r>
          <w:rPr>
            <w:rStyle w:val="Hyperlink"/>
            <w:rFonts w:cs="Times New Roman" w:ascii="Times New Roman" w:hAnsi="Times New Roman"/>
            <w:lang w:val="en-US"/>
          </w:rPr>
          <w:t>corruption</w:t>
        </w:r>
        <w:r>
          <w:rPr>
            <w:rStyle w:val="Hyperlink"/>
            <w:rFonts w:cs="Times New Roman" w:ascii="Times New Roman" w:hAnsi="Times New Roman"/>
          </w:rPr>
          <w:t>@</w:t>
        </w:r>
        <w:r>
          <w:rPr>
            <w:rStyle w:val="Hyperlink"/>
            <w:rFonts w:cs="Times New Roman" w:ascii="Times New Roman" w:hAnsi="Times New Roman"/>
            <w:lang w:val="en-US"/>
          </w:rPr>
          <w:t>karelavia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</w:rPr>
        <w:t>: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 или ваш родственник стали руководителем, учредителем, работников, консультантов, агентом, доверенным лицом какой-либо организации, сотрудничающей с Учреждением, или выступающей стороной в судебном разбирательстве с Учреждением;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 или ваш родственник получили право владения прямо или косвенно акциями (долями, паями) или любыми другими финансовыми интересами вышеперечисленных организаций;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 или ваш родственник приобрел какие-либо имущественные обязательства (кредит, займ, ссуда и т.п.) перед вышеперечисленными в организациями, а также другими работниками Учреждения;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 или ваш родственник пользуетесь имуществом, принадлежащим вышеперечисленным организациям;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 или ваш родственник получили подарки или знаки делового гостеприимства от вышеперечисленных организаций;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на работу в Учреждение поступает ваш близкий родственник, который будет находиться в вашем подчинении, или у которого вы будете находиться в подчинении, или от которого будете зависеть по работе.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Если вас или другого работника Учреждения пробуют склонить </w:t>
      </w:r>
      <w:r>
        <w:rPr>
          <w:rStyle w:val="Style14"/>
          <w:rFonts w:cs="Times New Roman" w:ascii="Times New Roman" w:hAnsi="Times New Roman"/>
        </w:rPr>
        <w:t xml:space="preserve">к совершению коррупционных правонарушений, вам необходимо в течение 1 (одного) рабочего дня уведомить непосредственного руководителя или руководство Учреждения по адресу </w:t>
      </w:r>
      <w:hyperlink r:id="rId4">
        <w:r>
          <w:rPr>
            <w:rStyle w:val="Hyperlink"/>
            <w:rFonts w:cs="Times New Roman" w:ascii="Times New Roman" w:hAnsi="Times New Roman"/>
            <w:lang w:val="en-US"/>
          </w:rPr>
          <w:t>corruption</w:t>
        </w:r>
        <w:r>
          <w:rPr>
            <w:rStyle w:val="Hyperlink"/>
            <w:rFonts w:cs="Times New Roman" w:ascii="Times New Roman" w:hAnsi="Times New Roman"/>
          </w:rPr>
          <w:t>@</w:t>
        </w:r>
        <w:r>
          <w:rPr>
            <w:rStyle w:val="Hyperlink"/>
            <w:rFonts w:cs="Times New Roman" w:ascii="Times New Roman" w:hAnsi="Times New Roman"/>
            <w:lang w:val="en-US"/>
          </w:rPr>
          <w:t>karelavia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</w:rPr>
        <w:t>. Такое уведомление осуществляется по форме, находящейся на сайте Учреждения в разделе «Противодействие коррупции».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Можно ли дарить и получать подарки от деловых партнёров Учреждения? Можно, при соблюдении следующих условий: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</w:rPr>
        <w:t>- подарки прямо связаны с законными целями деятельности Учреждения (например, с презентацией, успешным совершением сделок), общепринятыми праздниками, такими как Новый год и Рождество, Международный женский день, памятными датами и юбилеями, а не представляют собой скрытое вознаграждение за услугу;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Style w:val="Style14"/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</w:rPr>
        <w:t>- нельзя дарить и получать в подарок предметы роскоши, наличные и безналичные денежные средства, ценные бумаги, драгоценные металлы или явно несоразмерные поводу подарки (например, компьютеры, оргтехнику, оборудование и т.п.). В данном случае благоразумно ориентироваться на стоимость подарка не выше 3000 рублей;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</w:rPr>
        <w:t xml:space="preserve">- нельзя </w:t>
      </w:r>
      <w:r>
        <w:rPr>
          <w:rFonts w:cs="Times New Roman" w:ascii="Times New Roman" w:hAnsi="Times New Roman"/>
        </w:rPr>
        <w:t>просить, требовать, вынуждать контрагентов или иных лиц дарить вам или вашим родственникам деловые подарки и (или) оказывать знаки делового гостеприимства, или иным образом производить впечатление того, что подарок необходим для дальнейшего сотрудничества;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абсолютно запрещены подарки и знаки делового гостеприимства в адрес государственных и муниципальных служащих, независимо от повода и стоимости.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5) </w:t>
      </w:r>
      <w:r>
        <w:rPr>
          <w:rStyle w:val="Style14"/>
          <w:rFonts w:cs="Times New Roman" w:ascii="Times New Roman" w:hAnsi="Times New Roman"/>
        </w:rPr>
        <w:t>Любой работник Учреждения оказывает содействие правоохранительным органам при проведении ими проверок деятельности Учреждения по вопросам предупреждения и противодействия коррупции.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6) </w:t>
      </w:r>
      <w:r>
        <w:rPr>
          <w:rStyle w:val="Style14"/>
          <w:rFonts w:cs="Times New Roman" w:ascii="Times New Roman" w:hAnsi="Times New Roman"/>
        </w:rPr>
        <w:t xml:space="preserve">В Учреждении проводится внутренний аудит финансово-хозяйственной деятельности,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документов, в том числе принципов и требований, установленных Антикоррупционной политикой. В рамках такого контроля и аудита могут быть проверены на обоснованность ваши командировочные расходы, расходы под авансовый отчёт. 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7) В Учреждении действует Кодекс этики и служебного поведения работников. В соответствии с ним, вам следует, в частности: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проявлять корректность и внимательность к гражданам и должностным лицам при должностном взаимодействии с ними;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разглашать и не использовать ненадлежащим образом сведения конфиденциального характера, служебную информацию и иные сведения, ставшие известными в связи с исполнением трудовых обязанностей;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допускать оказания воздействия на своих коллег в целях принятия противозаконного и (или) необоснованного решения;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воздерживаться от публичных высказываний, суждений и оценок в отношении Учреждения, если это не входит в обязанности работника;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использовать имущество Учреждения в целях, не связанных с исполнением трудовых обязанностей, а также не передавать его в таких целях иным лицам;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способствовать своим должностным поведением установлению в коллективе деловых взаимоотношений и конструктивного сотрудничества друг с другом, быть вежливыми, доброжелательными, корректными, внимательными и проявлять терпимость в общении с гражданами и коллегами;</w:t>
      </w:r>
    </w:p>
    <w:p>
      <w:pPr>
        <w:pStyle w:val="NoSpacing"/>
        <w:spacing w:before="0" w:after="60"/>
        <w:ind w:firstLine="567" w:right="-11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даже внешним видом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 Определенные категории работников Учреждения при исполнении должностных обязанностей обязаны носить форменную одежду, чистую и аккуратно поглаженную. </w:t>
      </w:r>
    </w:p>
    <w:p>
      <w:pPr>
        <w:pStyle w:val="Normal"/>
        <w:spacing w:lineRule="auto" w:line="240" w:before="0" w:after="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ind w:firstLine="720"/>
        <w:contextualSpacing/>
        <w:jc w:val="both"/>
        <w:rPr>
          <w:rStyle w:val="Style14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8) К работникам, не соблюдающим Антикоррупционную политику Учреждения, Кодекс этики и служебного поведения работников</w:t>
      </w:r>
      <w:r>
        <w:rPr>
          <w:rStyle w:val="Style14"/>
          <w:rFonts w:cs="Times New Roman" w:ascii="Times New Roman" w:hAnsi="Times New Roman"/>
        </w:rPr>
        <w:t>, могут быть применены следующие меры ответственности: уголовная, административная, дисциплинарная, гражданско-правовая и материальная.</w:t>
      </w:r>
    </w:p>
    <w:p>
      <w:pPr>
        <w:pStyle w:val="Normal"/>
        <w:spacing w:lineRule="auto" w:line="240" w:before="0" w:after="60"/>
        <w:ind w:firstLine="720"/>
        <w:contextualSpacing/>
        <w:jc w:val="both"/>
        <w:rPr>
          <w:rStyle w:val="Style14"/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</w:rPr>
        <w:t>Так, в рамках дисциплинарной ответственности к работнику могут быть применены: замечание, выговор, увольнение в связи с утратой доверия (п. 7.1 ст. 81 Трудового кодекса РФ).</w:t>
      </w:r>
    </w:p>
    <w:p>
      <w:pPr>
        <w:pStyle w:val="Normal"/>
        <w:spacing w:lineRule="auto" w:line="240" w:before="0" w:after="60"/>
        <w:ind w:firstLine="720"/>
        <w:contextualSpacing/>
        <w:jc w:val="both"/>
        <w:rPr>
          <w:rStyle w:val="Style14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ind w:firstLine="720"/>
        <w:contextualSpacing/>
        <w:jc w:val="both"/>
        <w:rPr>
          <w:rStyle w:val="Style14"/>
          <w:rFonts w:ascii="Times New Roman" w:hAnsi="Times New Roman" w:cs="Times New Roman"/>
          <w:b/>
        </w:rPr>
      </w:pPr>
      <w:r>
        <w:rPr>
          <w:rStyle w:val="Style14"/>
          <w:rFonts w:cs="Times New Roman" w:ascii="Times New Roman" w:hAnsi="Times New Roman"/>
          <w:b/>
        </w:rPr>
        <w:t>С настоящей памяткой ознакомлен, обязуюсь выполнять:</w:t>
      </w:r>
    </w:p>
    <w:p>
      <w:pPr>
        <w:pStyle w:val="Normal"/>
        <w:spacing w:lineRule="auto" w:line="240" w:before="0" w:after="60"/>
        <w:ind w:firstLine="720"/>
        <w:contextualSpacing/>
        <w:jc w:val="both"/>
        <w:rPr>
          <w:rStyle w:val="Style14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ind w:firstLine="720"/>
        <w:contextualSpacing/>
        <w:jc w:val="both"/>
        <w:rPr>
          <w:rStyle w:val="Style14"/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240" w:before="0" w:after="60"/>
        <w:ind w:firstLine="720"/>
        <w:contextualSpacing/>
        <w:jc w:val="center"/>
        <w:rPr>
          <w:rFonts w:ascii="Times New Roman" w:hAnsi="Times New Roman" w:cs="Times New Roman"/>
          <w:i/>
          <w:i/>
        </w:rPr>
      </w:pPr>
      <w:r>
        <w:rPr>
          <w:rStyle w:val="Style14"/>
          <w:rFonts w:cs="Times New Roman" w:ascii="Times New Roman" w:hAnsi="Times New Roman"/>
          <w:i/>
          <w:sz w:val="18"/>
        </w:rPr>
        <w:t>(подпись, расшифровка, дата)</w:t>
      </w:r>
      <w:bookmarkStart w:id="0" w:name="_GoBack"/>
      <w:bookmarkEnd w:id="0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5012b"/>
    <w:rPr>
      <w:color w:themeColor="hyperlink" w:val="0000FF"/>
      <w:u w:val="single"/>
    </w:rPr>
  </w:style>
  <w:style w:type="character" w:styleId="Style14" w:customStyle="1">
    <w:name w:val="Цветовое выделение для Текст"/>
    <w:qFormat/>
    <w:rsid w:val="0045012b"/>
    <w:rPr/>
  </w:style>
  <w:style w:type="character" w:styleId="Style15" w:customStyle="1">
    <w:name w:val="Основной текст Знак"/>
    <w:basedOn w:val="DefaultParagraphFont"/>
    <w:uiPriority w:val="99"/>
    <w:qFormat/>
    <w:rsid w:val="0045012b"/>
    <w:rPr>
      <w:rFonts w:ascii="Times New Roman" w:hAnsi="Times New Roman" w:eastAsia="Andale Sans UI"/>
      <w:kern w:val="2"/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242aa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45012b"/>
    <w:pPr>
      <w:widowControl/>
      <w:suppressAutoHyphens w:val="true"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rruption@karelavia.ru" TargetMode="External"/><Relationship Id="rId3" Type="http://schemas.openxmlformats.org/officeDocument/2006/relationships/hyperlink" Target="mailto:corruption@karelavia.ru" TargetMode="External"/><Relationship Id="rId4" Type="http://schemas.openxmlformats.org/officeDocument/2006/relationships/hyperlink" Target="mailto:corruption@karelavia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LibreOffice/7.6.1.2$Windows_X86_64 LibreOffice_project/f5defcebd022c5bc36bbb79be232cb6926d8f674</Application>
  <AppVersion>15.0000</AppVersion>
  <Pages>2</Pages>
  <Words>1071</Words>
  <Characters>7794</Characters>
  <CharactersWithSpaces>8828</CharactersWithSpaces>
  <Paragraphs>43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2024-04-19T12:10:00Z</dcterms:created>
  <dc:creator>Татьяна Васянина</dc:creator>
  <dc:description/>
  <dc:language>ru-RU</dc:language>
  <cp:lastModifiedBy/>
  <dcterms:modified xsi:type="dcterms:W3CDTF">2024-04-22T10:27:34Z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